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28" w:rsidRDefault="00C33D28" w:rsidP="00A73935">
      <w:pPr>
        <w:jc w:val="center"/>
        <w:rPr>
          <w:rFonts w:cs="Arial"/>
          <w:b/>
          <w:sz w:val="36"/>
          <w:szCs w:val="36"/>
          <w:lang w:val="en-US"/>
        </w:rPr>
      </w:pPr>
    </w:p>
    <w:p w:rsidR="00A73935" w:rsidRPr="00BA4C4A" w:rsidRDefault="00A73935" w:rsidP="00A73935">
      <w:pPr>
        <w:jc w:val="center"/>
        <w:rPr>
          <w:rFonts w:cs="Arial"/>
          <w:b/>
          <w:sz w:val="36"/>
          <w:szCs w:val="36"/>
          <w:lang w:val="en-US"/>
        </w:rPr>
      </w:pPr>
      <w:r w:rsidRPr="00BA4C4A">
        <w:rPr>
          <w:rFonts w:cs="Arial"/>
          <w:b/>
          <w:sz w:val="36"/>
          <w:szCs w:val="36"/>
          <w:lang w:val="en-US"/>
        </w:rPr>
        <w:t>Conditions of Participation</w:t>
      </w:r>
    </w:p>
    <w:p w:rsidR="00A73935" w:rsidRPr="00BA4C4A" w:rsidRDefault="00A73935" w:rsidP="00A73935">
      <w:pPr>
        <w:jc w:val="center"/>
        <w:rPr>
          <w:rFonts w:cs="Arial"/>
          <w:lang w:val="en-US"/>
        </w:rPr>
      </w:pPr>
    </w:p>
    <w:p w:rsidR="00A73935" w:rsidRPr="00BA4C4A" w:rsidRDefault="00A73935" w:rsidP="00A73935">
      <w:pPr>
        <w:jc w:val="center"/>
        <w:rPr>
          <w:rFonts w:cs="Arial"/>
          <w:b/>
          <w:lang w:val="en-US"/>
        </w:rPr>
      </w:pPr>
      <w:r w:rsidRPr="00BA4C4A">
        <w:rPr>
          <w:rFonts w:cs="Arial"/>
          <w:b/>
          <w:lang w:val="en-US"/>
        </w:rPr>
        <w:t xml:space="preserve">of the </w:t>
      </w:r>
      <w:r w:rsidR="005C6CCC" w:rsidRPr="005C6CCC">
        <w:rPr>
          <w:rFonts w:cs="Arial"/>
          <w:b/>
          <w:lang w:val="en-US"/>
        </w:rPr>
        <w:t>“</w:t>
      </w:r>
      <w:r w:rsidR="00E8765E" w:rsidRPr="00E8765E">
        <w:rPr>
          <w:rFonts w:cs="Arial"/>
          <w:b/>
          <w:lang w:val="en-US"/>
        </w:rPr>
        <w:t>1st Quintessence International Esthetic Dentistry Symposium</w:t>
      </w:r>
      <w:r w:rsidR="005C6CCC" w:rsidRPr="005C6CCC">
        <w:rPr>
          <w:rFonts w:cs="Arial"/>
          <w:b/>
          <w:lang w:val="en-US"/>
        </w:rPr>
        <w:t>” on 2</w:t>
      </w:r>
      <w:r w:rsidR="00C95E30">
        <w:rPr>
          <w:rFonts w:cs="Arial"/>
          <w:b/>
          <w:lang w:val="en-US"/>
        </w:rPr>
        <w:t>4</w:t>
      </w:r>
      <w:r w:rsidR="005C6CCC" w:rsidRPr="005C6CCC">
        <w:rPr>
          <w:rFonts w:cs="Arial"/>
          <w:b/>
          <w:lang w:val="en-US"/>
        </w:rPr>
        <w:t>/2</w:t>
      </w:r>
      <w:r w:rsidR="00C95E30">
        <w:rPr>
          <w:rFonts w:cs="Arial"/>
          <w:b/>
          <w:lang w:val="en-US"/>
        </w:rPr>
        <w:t>5</w:t>
      </w:r>
      <w:r w:rsidR="00E8765E">
        <w:rPr>
          <w:rFonts w:cs="Arial"/>
          <w:b/>
          <w:lang w:val="en-US"/>
        </w:rPr>
        <w:t xml:space="preserve"> August 2019</w:t>
      </w:r>
      <w:r w:rsidR="005C6CCC" w:rsidRPr="005C6CCC">
        <w:rPr>
          <w:rFonts w:cs="Arial"/>
          <w:b/>
          <w:lang w:val="en-US"/>
        </w:rPr>
        <w:t xml:space="preserve"> in Beijing</w:t>
      </w:r>
    </w:p>
    <w:p w:rsidR="00A73935" w:rsidRPr="00BA4C4A" w:rsidRDefault="00A73935" w:rsidP="00A73935">
      <w:pPr>
        <w:rPr>
          <w:rFonts w:cs="Arial"/>
          <w:lang w:val="en-US"/>
        </w:rPr>
      </w:pPr>
    </w:p>
    <w:p w:rsidR="00A73935" w:rsidRPr="00BA4C4A" w:rsidRDefault="00A73935" w:rsidP="00A73935">
      <w:pPr>
        <w:rPr>
          <w:rFonts w:cs="Arial"/>
          <w:lang w:val="en-US"/>
        </w:rPr>
      </w:pPr>
    </w:p>
    <w:p w:rsidR="00A73935" w:rsidRPr="00BA4C4A" w:rsidRDefault="00A73935" w:rsidP="00A73935">
      <w:pPr>
        <w:pStyle w:val="Listenabsatz"/>
        <w:numPr>
          <w:ilvl w:val="0"/>
          <w:numId w:val="14"/>
        </w:numPr>
        <w:rPr>
          <w:rFonts w:cs="Arial"/>
          <w:b/>
          <w:lang w:val="en-US"/>
        </w:rPr>
      </w:pPr>
      <w:r w:rsidRPr="00BA4C4A">
        <w:rPr>
          <w:rFonts w:cs="Arial"/>
          <w:b/>
          <w:lang w:val="en-US"/>
        </w:rPr>
        <w:t>Registration:</w:t>
      </w:r>
    </w:p>
    <w:p w:rsidR="00A73935" w:rsidRPr="00BA4C4A" w:rsidRDefault="00A73935" w:rsidP="00A73935">
      <w:pPr>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 xml:space="preserve">The closing date for registration is </w:t>
      </w:r>
      <w:r w:rsidRPr="00BA4C4A">
        <w:rPr>
          <w:rFonts w:cs="Arial"/>
          <w:b/>
          <w:lang w:val="en-US"/>
        </w:rPr>
        <w:t>16 May 201</w:t>
      </w:r>
      <w:r w:rsidR="00E8765E">
        <w:rPr>
          <w:rFonts w:cs="Arial"/>
          <w:b/>
          <w:lang w:val="en-US"/>
        </w:rPr>
        <w:t>9</w:t>
      </w:r>
      <w:r w:rsidRPr="00BA4C4A">
        <w:rPr>
          <w:rFonts w:cs="Arial"/>
          <w:lang w:val="en-US"/>
        </w:rPr>
        <w:t xml:space="preserve">. </w:t>
      </w:r>
    </w:p>
    <w:p w:rsidR="00A73935" w:rsidRPr="00BA4C4A" w:rsidRDefault="00A73935" w:rsidP="00A73935">
      <w:pPr>
        <w:autoSpaceDE w:val="0"/>
        <w:autoSpaceDN w:val="0"/>
        <w:adjustRightInd w:val="0"/>
        <w:rPr>
          <w:rFonts w:cs="Arial"/>
          <w:lang w:val="en-US"/>
        </w:rPr>
      </w:pPr>
      <w:r w:rsidRPr="00BA4C4A">
        <w:rPr>
          <w:rFonts w:cs="Arial"/>
          <w:lang w:val="en-US"/>
        </w:rPr>
        <w:t xml:space="preserve">Minimum Space: 9 </w:t>
      </w:r>
      <w:proofErr w:type="spellStart"/>
      <w:r w:rsidRPr="00BA4C4A">
        <w:rPr>
          <w:rFonts w:cs="Arial"/>
          <w:lang w:val="en-US"/>
        </w:rPr>
        <w:t>sqm</w:t>
      </w:r>
      <w:proofErr w:type="spellEnd"/>
      <w:r w:rsidRPr="00BA4C4A">
        <w:rPr>
          <w:rFonts w:cs="Arial"/>
          <w:lang w:val="en-US"/>
        </w:rPr>
        <w:t xml:space="preserve">, bigger booths in 3 </w:t>
      </w:r>
      <w:proofErr w:type="spellStart"/>
      <w:r w:rsidRPr="00BA4C4A">
        <w:rPr>
          <w:rFonts w:cs="Arial"/>
          <w:lang w:val="en-US"/>
        </w:rPr>
        <w:t>sqm</w:t>
      </w:r>
      <w:proofErr w:type="spellEnd"/>
      <w:r w:rsidRPr="00BA4C4A">
        <w:rPr>
          <w:rFonts w:cs="Arial"/>
          <w:lang w:val="en-US"/>
        </w:rPr>
        <w:t xml:space="preserve"> steps</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Registration to participate is effected through the receipt of the contract, including legally binding stamp and signature both by the organizer or co-organizer and the exhibitor prior to the closing date for registrations under recognition of these Conditions of Participation. Registration is binding.</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The registration and confirmation of receipt shall not constitute a claim for admission, or for a specific size or location of booth. In particular the organizer or co-organizer may undertake reductions in registered space, should the exhibition space available be oversubscribed.</w:t>
      </w:r>
    </w:p>
    <w:p w:rsidR="00A73935" w:rsidRPr="00BA4C4A" w:rsidRDefault="00A73935" w:rsidP="00A73935">
      <w:pPr>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Terms of Payment:</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Payment of booth/space rental as well as possible extra costs have to be effected to the organizer or co-organizer 14 days after signing of the contract, without deduction. Otherwise participation will be excluded.</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 xml:space="preserve">Payment may be effected to the account of Party A in Germany or, if settlement within China is desired, to Beijing </w:t>
      </w:r>
      <w:proofErr w:type="spellStart"/>
      <w:r w:rsidRPr="00BA4C4A">
        <w:rPr>
          <w:rFonts w:cs="Arial"/>
          <w:lang w:val="en-US"/>
        </w:rPr>
        <w:t>Luxmedia</w:t>
      </w:r>
      <w:proofErr w:type="spellEnd"/>
      <w:r w:rsidRPr="00BA4C4A">
        <w:rPr>
          <w:rFonts w:cs="Arial"/>
          <w:lang w:val="en-US"/>
        </w:rPr>
        <w:t xml:space="preserve"> Co. Ltd. In this case, an additional amount of 3.5% will fall due for Chinese tax.</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Booth Position:</w:t>
      </w:r>
    </w:p>
    <w:p w:rsidR="00A73935" w:rsidRPr="00BA4C4A" w:rsidRDefault="00A73935" w:rsidP="00A73935">
      <w:pPr>
        <w:autoSpaceDE w:val="0"/>
        <w:autoSpaceDN w:val="0"/>
        <w:adjustRightInd w:val="0"/>
        <w:rPr>
          <w:rFonts w:cs="Arial"/>
          <w:b/>
          <w:lang w:val="en-US"/>
        </w:rPr>
      </w:pPr>
    </w:p>
    <w:p w:rsidR="00A73935" w:rsidRPr="00BA4C4A" w:rsidRDefault="00A73935" w:rsidP="00A73935">
      <w:pPr>
        <w:autoSpaceDE w:val="0"/>
        <w:autoSpaceDN w:val="0"/>
        <w:adjustRightInd w:val="0"/>
        <w:rPr>
          <w:rFonts w:cs="Arial"/>
          <w:lang w:val="en-US"/>
        </w:rPr>
      </w:pPr>
      <w:r w:rsidRPr="00BA4C4A">
        <w:rPr>
          <w:rFonts w:cs="Arial"/>
          <w:lang w:val="en-US"/>
        </w:rPr>
        <w:t>The exhibitor will be informed on time about their booth position. The allocation of booths is under the organizer’s or co-organizer’s responsibility. Special requirements will be observed, if possible, but they do not build a condition for participation.</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Sub-Exhibitors</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Subletting of booth space or transfer is only admitted with written consent of the organizer or co-organizer.</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Cancellation</w:t>
      </w:r>
    </w:p>
    <w:p w:rsidR="00A73935" w:rsidRPr="00BA4C4A" w:rsidRDefault="00A73935" w:rsidP="00A73935">
      <w:pPr>
        <w:autoSpaceDE w:val="0"/>
        <w:autoSpaceDN w:val="0"/>
        <w:adjustRightInd w:val="0"/>
        <w:rPr>
          <w:rFonts w:cs="Arial"/>
          <w:lang w:val="en-US"/>
        </w:rPr>
      </w:pPr>
    </w:p>
    <w:p w:rsidR="00A73935" w:rsidRDefault="00662B7D" w:rsidP="00A73935">
      <w:pPr>
        <w:autoSpaceDE w:val="0"/>
        <w:autoSpaceDN w:val="0"/>
        <w:adjustRightInd w:val="0"/>
        <w:rPr>
          <w:rFonts w:cs="Arial"/>
          <w:lang w:val="en-US"/>
        </w:rPr>
      </w:pPr>
      <w:r>
        <w:rPr>
          <w:rFonts w:cs="Arial"/>
          <w:lang w:val="en-US"/>
        </w:rPr>
        <w:t>In case of full or partial cancellation</w:t>
      </w:r>
      <w:r w:rsidR="0089335D">
        <w:rPr>
          <w:rFonts w:cs="Arial"/>
          <w:lang w:val="en-US"/>
        </w:rPr>
        <w:t xml:space="preserve">, the following </w:t>
      </w:r>
      <w:r>
        <w:rPr>
          <w:rFonts w:cs="Arial"/>
          <w:lang w:val="en-US"/>
        </w:rPr>
        <w:t>cancellation fees will fall due for the cancelled part:</w:t>
      </w:r>
    </w:p>
    <w:p w:rsidR="001D76A7" w:rsidRDefault="001D76A7" w:rsidP="00A73935">
      <w:pPr>
        <w:autoSpaceDE w:val="0"/>
        <w:autoSpaceDN w:val="0"/>
        <w:adjustRightInd w:val="0"/>
        <w:rPr>
          <w:rFonts w:cs="Arial"/>
          <w:lang w:val="en-US"/>
        </w:rPr>
      </w:pPr>
    </w:p>
    <w:p w:rsidR="0089335D" w:rsidRDefault="001D76A7" w:rsidP="00C33D28">
      <w:pPr>
        <w:pStyle w:val="Listenabsatz"/>
        <w:numPr>
          <w:ilvl w:val="0"/>
          <w:numId w:val="15"/>
        </w:numPr>
        <w:tabs>
          <w:tab w:val="left" w:pos="3828"/>
        </w:tabs>
        <w:autoSpaceDE w:val="0"/>
        <w:autoSpaceDN w:val="0"/>
        <w:adjustRightInd w:val="0"/>
        <w:rPr>
          <w:rFonts w:cs="Arial"/>
          <w:lang w:val="en-US"/>
        </w:rPr>
      </w:pPr>
      <w:r>
        <w:rPr>
          <w:rFonts w:cs="Arial"/>
          <w:lang w:val="en-US"/>
        </w:rPr>
        <w:t>after registration</w:t>
      </w:r>
      <w:r>
        <w:rPr>
          <w:rFonts w:cs="Arial"/>
          <w:lang w:val="en-US"/>
        </w:rPr>
        <w:tab/>
      </w:r>
      <w:r w:rsidR="00662B7D">
        <w:rPr>
          <w:rFonts w:cs="Arial"/>
          <w:lang w:val="en-US"/>
        </w:rPr>
        <w:t xml:space="preserve">full cancellation: </w:t>
      </w:r>
      <w:r>
        <w:rPr>
          <w:rFonts w:cs="Arial"/>
          <w:lang w:val="en-US"/>
        </w:rPr>
        <w:t>20% of the contract amount</w:t>
      </w:r>
    </w:p>
    <w:p w:rsidR="00662B7D" w:rsidRPr="00C33D28" w:rsidRDefault="00C33D28" w:rsidP="00C33D28">
      <w:pPr>
        <w:tabs>
          <w:tab w:val="left" w:pos="3828"/>
        </w:tabs>
        <w:autoSpaceDE w:val="0"/>
        <w:autoSpaceDN w:val="0"/>
        <w:adjustRightInd w:val="0"/>
        <w:rPr>
          <w:rFonts w:cs="Arial"/>
          <w:lang w:val="en-US"/>
        </w:rPr>
      </w:pPr>
      <w:r>
        <w:rPr>
          <w:rFonts w:cs="Arial"/>
          <w:lang w:val="en-US"/>
        </w:rPr>
        <w:tab/>
      </w:r>
      <w:r w:rsidR="00662B7D" w:rsidRPr="00C33D28">
        <w:rPr>
          <w:rFonts w:cs="Arial"/>
          <w:lang w:val="en-US"/>
        </w:rPr>
        <w:t>partial cancellation: 20% of the partial contract amount</w:t>
      </w:r>
    </w:p>
    <w:p w:rsidR="00662B7D" w:rsidRDefault="00662B7D" w:rsidP="00C33D28">
      <w:pPr>
        <w:pStyle w:val="Listenabsatz"/>
        <w:numPr>
          <w:ilvl w:val="0"/>
          <w:numId w:val="15"/>
        </w:numPr>
        <w:tabs>
          <w:tab w:val="left" w:pos="3828"/>
        </w:tabs>
        <w:autoSpaceDE w:val="0"/>
        <w:autoSpaceDN w:val="0"/>
        <w:adjustRightInd w:val="0"/>
        <w:rPr>
          <w:rFonts w:cs="Arial"/>
          <w:lang w:val="en-US"/>
        </w:rPr>
      </w:pPr>
      <w:r>
        <w:rPr>
          <w:rFonts w:cs="Arial"/>
          <w:lang w:val="en-US"/>
        </w:rPr>
        <w:t>by 9</w:t>
      </w:r>
      <w:r w:rsidRPr="00BA4C4A">
        <w:rPr>
          <w:rFonts w:cs="Arial"/>
          <w:lang w:val="en-US"/>
        </w:rPr>
        <w:t>0 days prior to the event</w:t>
      </w:r>
      <w:r w:rsidR="00C33D28">
        <w:rPr>
          <w:rFonts w:cs="Arial"/>
          <w:lang w:val="en-US"/>
        </w:rPr>
        <w:tab/>
        <w:t>full cancellation: 4</w:t>
      </w:r>
      <w:r>
        <w:rPr>
          <w:rFonts w:cs="Arial"/>
          <w:lang w:val="en-US"/>
        </w:rPr>
        <w:t>0% of the contract amount</w:t>
      </w:r>
    </w:p>
    <w:p w:rsidR="00662B7D" w:rsidRPr="00C33D28" w:rsidRDefault="00C33D28" w:rsidP="00C33D28">
      <w:pPr>
        <w:tabs>
          <w:tab w:val="left" w:pos="3828"/>
        </w:tabs>
        <w:autoSpaceDE w:val="0"/>
        <w:autoSpaceDN w:val="0"/>
        <w:adjustRightInd w:val="0"/>
        <w:rPr>
          <w:rFonts w:cs="Arial"/>
          <w:lang w:val="en-US"/>
        </w:rPr>
      </w:pPr>
      <w:r>
        <w:rPr>
          <w:rFonts w:cs="Arial"/>
          <w:lang w:val="en-US"/>
        </w:rPr>
        <w:tab/>
      </w:r>
      <w:r w:rsidRPr="00C33D28">
        <w:rPr>
          <w:rFonts w:cs="Arial"/>
          <w:lang w:val="en-US"/>
        </w:rPr>
        <w:t>partial cancellation: 4</w:t>
      </w:r>
      <w:r w:rsidR="00662B7D" w:rsidRPr="00C33D28">
        <w:rPr>
          <w:rFonts w:cs="Arial"/>
          <w:lang w:val="en-US"/>
        </w:rPr>
        <w:t>0% of the partial contract amount</w:t>
      </w:r>
    </w:p>
    <w:p w:rsidR="00C33D28" w:rsidRDefault="00C33D28" w:rsidP="00C33D28">
      <w:pPr>
        <w:pStyle w:val="Listenabsatz"/>
        <w:numPr>
          <w:ilvl w:val="0"/>
          <w:numId w:val="15"/>
        </w:numPr>
        <w:tabs>
          <w:tab w:val="left" w:pos="3828"/>
        </w:tabs>
        <w:autoSpaceDE w:val="0"/>
        <w:autoSpaceDN w:val="0"/>
        <w:adjustRightInd w:val="0"/>
        <w:rPr>
          <w:rFonts w:cs="Arial"/>
          <w:lang w:val="en-US"/>
        </w:rPr>
      </w:pPr>
      <w:r>
        <w:rPr>
          <w:rFonts w:cs="Arial"/>
          <w:lang w:val="en-US"/>
        </w:rPr>
        <w:t>by 6</w:t>
      </w:r>
      <w:r w:rsidRPr="00BA4C4A">
        <w:rPr>
          <w:rFonts w:cs="Arial"/>
          <w:lang w:val="en-US"/>
        </w:rPr>
        <w:t>0 days prior to the event</w:t>
      </w:r>
      <w:r>
        <w:rPr>
          <w:rFonts w:cs="Arial"/>
          <w:lang w:val="en-US"/>
        </w:rPr>
        <w:tab/>
        <w:t>full cancellation: 60% of the contract amount</w:t>
      </w:r>
    </w:p>
    <w:p w:rsidR="00C33D28" w:rsidRPr="00C33D28" w:rsidRDefault="00C33D28" w:rsidP="00C33D28">
      <w:pPr>
        <w:tabs>
          <w:tab w:val="left" w:pos="3828"/>
        </w:tabs>
        <w:autoSpaceDE w:val="0"/>
        <w:autoSpaceDN w:val="0"/>
        <w:adjustRightInd w:val="0"/>
        <w:rPr>
          <w:rFonts w:cs="Arial"/>
          <w:lang w:val="en-US"/>
        </w:rPr>
      </w:pPr>
      <w:r>
        <w:rPr>
          <w:rFonts w:cs="Arial"/>
          <w:lang w:val="en-US"/>
        </w:rPr>
        <w:tab/>
      </w:r>
      <w:r w:rsidRPr="00C33D28">
        <w:rPr>
          <w:rFonts w:cs="Arial"/>
          <w:lang w:val="en-US"/>
        </w:rPr>
        <w:t>partial cancellation: 60% of the partial contract amount</w:t>
      </w:r>
    </w:p>
    <w:p w:rsidR="00C33D28" w:rsidRDefault="00C33D28" w:rsidP="00C33D28">
      <w:pPr>
        <w:pStyle w:val="Listenabsatz"/>
        <w:numPr>
          <w:ilvl w:val="0"/>
          <w:numId w:val="15"/>
        </w:numPr>
        <w:tabs>
          <w:tab w:val="left" w:pos="3828"/>
        </w:tabs>
        <w:autoSpaceDE w:val="0"/>
        <w:autoSpaceDN w:val="0"/>
        <w:adjustRightInd w:val="0"/>
        <w:rPr>
          <w:rFonts w:cs="Arial"/>
          <w:lang w:val="en-US"/>
        </w:rPr>
      </w:pPr>
      <w:r>
        <w:rPr>
          <w:rFonts w:cs="Arial"/>
          <w:lang w:val="en-US"/>
        </w:rPr>
        <w:t>by 3</w:t>
      </w:r>
      <w:r w:rsidRPr="00BA4C4A">
        <w:rPr>
          <w:rFonts w:cs="Arial"/>
          <w:lang w:val="en-US"/>
        </w:rPr>
        <w:t>0 days prior to the event</w:t>
      </w:r>
      <w:r>
        <w:rPr>
          <w:rFonts w:cs="Arial"/>
          <w:lang w:val="en-US"/>
        </w:rPr>
        <w:tab/>
        <w:t>full cancellation: 80% of the contract amount</w:t>
      </w:r>
    </w:p>
    <w:p w:rsidR="00C33D28" w:rsidRPr="00C33D28" w:rsidRDefault="00C33D28" w:rsidP="00C33D28">
      <w:pPr>
        <w:tabs>
          <w:tab w:val="left" w:pos="3828"/>
        </w:tabs>
        <w:autoSpaceDE w:val="0"/>
        <w:autoSpaceDN w:val="0"/>
        <w:adjustRightInd w:val="0"/>
        <w:rPr>
          <w:rFonts w:cs="Arial"/>
          <w:lang w:val="en-US"/>
        </w:rPr>
      </w:pPr>
      <w:r>
        <w:rPr>
          <w:rFonts w:cs="Arial"/>
          <w:lang w:val="en-US"/>
        </w:rPr>
        <w:tab/>
      </w:r>
      <w:r w:rsidRPr="00C33D28">
        <w:rPr>
          <w:rFonts w:cs="Arial"/>
          <w:lang w:val="en-US"/>
        </w:rPr>
        <w:t>partial cancellation: 80% of the partial contract amount</w:t>
      </w:r>
    </w:p>
    <w:p w:rsidR="00A73935" w:rsidRDefault="00A73935" w:rsidP="00C33D28">
      <w:pPr>
        <w:pStyle w:val="Listenabsatz"/>
        <w:numPr>
          <w:ilvl w:val="0"/>
          <w:numId w:val="15"/>
        </w:numPr>
        <w:tabs>
          <w:tab w:val="left" w:pos="3828"/>
        </w:tabs>
        <w:autoSpaceDE w:val="0"/>
        <w:autoSpaceDN w:val="0"/>
        <w:adjustRightInd w:val="0"/>
        <w:rPr>
          <w:rFonts w:cs="Arial"/>
          <w:lang w:val="en-US"/>
        </w:rPr>
      </w:pPr>
      <w:r w:rsidRPr="00BA4C4A">
        <w:rPr>
          <w:rFonts w:cs="Arial"/>
          <w:lang w:val="en-US"/>
        </w:rPr>
        <w:t>less than 30 days prior to the event</w:t>
      </w:r>
      <w:r w:rsidR="001D76A7">
        <w:rPr>
          <w:rFonts w:cs="Arial"/>
          <w:lang w:val="en-US"/>
        </w:rPr>
        <w:tab/>
      </w:r>
      <w:r w:rsidR="00C33D28">
        <w:rPr>
          <w:rFonts w:cs="Arial"/>
          <w:lang w:val="en-US"/>
        </w:rPr>
        <w:t xml:space="preserve">full cancellation: </w:t>
      </w:r>
      <w:r w:rsidR="001D76A7">
        <w:rPr>
          <w:rFonts w:cs="Arial"/>
          <w:lang w:val="en-US"/>
        </w:rPr>
        <w:t>100% of the contract amount</w:t>
      </w:r>
    </w:p>
    <w:p w:rsidR="00C33D28" w:rsidRPr="00C33D28" w:rsidRDefault="00C33D28" w:rsidP="00C33D28">
      <w:pPr>
        <w:tabs>
          <w:tab w:val="left" w:pos="3828"/>
        </w:tabs>
        <w:autoSpaceDE w:val="0"/>
        <w:autoSpaceDN w:val="0"/>
        <w:adjustRightInd w:val="0"/>
        <w:rPr>
          <w:rFonts w:cs="Arial"/>
          <w:lang w:val="en-US"/>
        </w:rPr>
      </w:pPr>
      <w:r>
        <w:rPr>
          <w:rFonts w:cs="Arial"/>
          <w:lang w:val="en-US"/>
        </w:rPr>
        <w:tab/>
      </w:r>
      <w:r w:rsidRPr="00C33D28">
        <w:rPr>
          <w:rFonts w:cs="Arial"/>
          <w:lang w:val="en-US"/>
        </w:rPr>
        <w:t>partial cancellation: 100% of the partial contract amount</w:t>
      </w:r>
    </w:p>
    <w:p w:rsidR="00A73935"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lastRenderedPageBreak/>
        <w:t>Exhibition Goods</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 xml:space="preserve">Transportation of exhibition goods as well as customs clearance is exclusively under the exhibitor’s own responsibility. </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 xml:space="preserve">Booth Construction and Dismantling </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The booth construction and dismantling periods will be noted down in the “Exhibitor Guideline” that will be sent out to all exhibitors. Dismantling before the official end of the event is prohibited.</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Oral Agreements</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All agreements, individual authorizations and special regulations necessarily require the written consent of the organizer or co-organizer.</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proofErr w:type="spellStart"/>
      <w:r w:rsidRPr="00BA4C4A">
        <w:rPr>
          <w:rFonts w:cs="Arial"/>
          <w:b/>
          <w:lang w:val="en-US"/>
        </w:rPr>
        <w:t>Warrenty</w:t>
      </w:r>
      <w:proofErr w:type="spellEnd"/>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The organizer or co-organizer is not to be held responsible for the success of the event. The organizer or co-organizer is particularly not liable for a certain number of visitors or customer contacts or for the achievement of any economic targets of the exhibitor.</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Disclaimer</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3"/>
        </w:numPr>
        <w:autoSpaceDE w:val="0"/>
        <w:autoSpaceDN w:val="0"/>
        <w:adjustRightInd w:val="0"/>
        <w:rPr>
          <w:rFonts w:cs="Arial"/>
          <w:lang w:val="en-US"/>
        </w:rPr>
      </w:pPr>
      <w:r w:rsidRPr="00BA4C4A">
        <w:rPr>
          <w:rFonts w:cs="Arial"/>
          <w:lang w:val="en-US"/>
        </w:rPr>
        <w:t>The insurance of the exhibition goods against all transport risks and during the event, in particular against damage, theft etc., is under the responsibility of the exhibitor. The exhibitor shall be liable for all damage caused to third parties through his exhibition participation, including damage caused to buildings at the exhibition centre and to its facilities.</w:t>
      </w:r>
    </w:p>
    <w:p w:rsidR="00A73935" w:rsidRPr="00BA4C4A" w:rsidRDefault="00A73935" w:rsidP="00A73935">
      <w:pPr>
        <w:pStyle w:val="Listenabsatz"/>
        <w:numPr>
          <w:ilvl w:val="0"/>
          <w:numId w:val="13"/>
        </w:numPr>
        <w:autoSpaceDE w:val="0"/>
        <w:autoSpaceDN w:val="0"/>
        <w:adjustRightInd w:val="0"/>
        <w:rPr>
          <w:rFonts w:cs="Arial"/>
          <w:lang w:val="en-US"/>
        </w:rPr>
      </w:pPr>
      <w:r w:rsidRPr="00BA4C4A">
        <w:rPr>
          <w:rFonts w:cs="Arial"/>
          <w:lang w:val="en-US"/>
        </w:rPr>
        <w:t>An additional insurance against damage or theft of the exhibition goods during exhibition and transport is highly recommended.</w:t>
      </w:r>
    </w:p>
    <w:p w:rsidR="00A73935" w:rsidRPr="00BA4C4A" w:rsidRDefault="00A73935" w:rsidP="00A73935">
      <w:pPr>
        <w:pStyle w:val="Listenabsatz"/>
        <w:numPr>
          <w:ilvl w:val="0"/>
          <w:numId w:val="13"/>
        </w:numPr>
        <w:autoSpaceDE w:val="0"/>
        <w:autoSpaceDN w:val="0"/>
        <w:adjustRightInd w:val="0"/>
        <w:rPr>
          <w:rFonts w:cs="Arial"/>
          <w:lang w:val="en-US"/>
        </w:rPr>
      </w:pPr>
      <w:r w:rsidRPr="00BA4C4A">
        <w:rPr>
          <w:rFonts w:cs="Arial"/>
          <w:lang w:val="en-US"/>
        </w:rPr>
        <w:t>It is recommended to the exhibitors to arrange for insurance against damage or loss that might be caused by force majeure. The organizer or co-organizer shall not be held liable for such a case.</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Listenabsatz"/>
        <w:numPr>
          <w:ilvl w:val="0"/>
          <w:numId w:val="14"/>
        </w:numPr>
        <w:autoSpaceDE w:val="0"/>
        <w:autoSpaceDN w:val="0"/>
        <w:adjustRightInd w:val="0"/>
        <w:rPr>
          <w:rFonts w:cs="Arial"/>
          <w:b/>
          <w:lang w:val="en-US"/>
        </w:rPr>
      </w:pPr>
      <w:r w:rsidRPr="00BA4C4A">
        <w:rPr>
          <w:rFonts w:cs="Arial"/>
          <w:b/>
          <w:lang w:val="en-US"/>
        </w:rPr>
        <w:t>Final Provisions</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The mutual rights and obligations resulting from this contractual relationship shall be subject to the laws of the Federal Republic of Germany.</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 xml:space="preserve">Place of jurisdiction and place of performance for financial obligations </w:t>
      </w:r>
      <w:r w:rsidR="00C95E30">
        <w:rPr>
          <w:rFonts w:cs="Arial"/>
          <w:lang w:val="en-US"/>
        </w:rPr>
        <w:t>is</w:t>
      </w:r>
      <w:r w:rsidRPr="00BA4C4A">
        <w:rPr>
          <w:rFonts w:cs="Arial"/>
          <w:lang w:val="en-US"/>
        </w:rPr>
        <w:t xml:space="preserve"> the registered office of the organizer, i.e. </w:t>
      </w:r>
      <w:r w:rsidR="00C95E30">
        <w:rPr>
          <w:rFonts w:cs="Arial"/>
          <w:lang w:val="en-US"/>
        </w:rPr>
        <w:t>Berlin</w:t>
      </w:r>
      <w:r w:rsidRPr="00BA4C4A">
        <w:rPr>
          <w:rFonts w:cs="Arial"/>
          <w:lang w:val="en-US"/>
        </w:rPr>
        <w:t>/Germany.</w:t>
      </w:r>
    </w:p>
    <w:p w:rsidR="00A73935" w:rsidRPr="00BA4C4A" w:rsidRDefault="00A73935" w:rsidP="00A73935">
      <w:pPr>
        <w:autoSpaceDE w:val="0"/>
        <w:autoSpaceDN w:val="0"/>
        <w:adjustRightInd w:val="0"/>
        <w:rPr>
          <w:rFonts w:cs="Arial"/>
          <w:lang w:val="en-US"/>
        </w:rPr>
      </w:pPr>
    </w:p>
    <w:p w:rsidR="00A73935" w:rsidRPr="00BA4C4A" w:rsidRDefault="00A73935" w:rsidP="00A73935">
      <w:pPr>
        <w:autoSpaceDE w:val="0"/>
        <w:autoSpaceDN w:val="0"/>
        <w:adjustRightInd w:val="0"/>
        <w:rPr>
          <w:rFonts w:cs="Arial"/>
          <w:lang w:val="en-US"/>
        </w:rPr>
      </w:pPr>
      <w:r w:rsidRPr="00BA4C4A">
        <w:rPr>
          <w:rFonts w:cs="Arial"/>
          <w:lang w:val="en-US"/>
        </w:rPr>
        <w:t>The contract and changes to the same must be made in writing and signed. Should one of the preceding conditions be null and void, the remaining conditions shall continue to apply. They shall be interpreted in such a way that the sense and purpose of the contract remain preserved.</w:t>
      </w:r>
    </w:p>
    <w:p w:rsidR="00A73935" w:rsidRPr="00BA4C4A" w:rsidRDefault="00A73935" w:rsidP="00A73935">
      <w:pPr>
        <w:autoSpaceDE w:val="0"/>
        <w:autoSpaceDN w:val="0"/>
        <w:adjustRightInd w:val="0"/>
        <w:rPr>
          <w:rFonts w:cs="Arial"/>
          <w:lang w:val="en-US"/>
        </w:rPr>
      </w:pPr>
    </w:p>
    <w:p w:rsidR="00A73935" w:rsidRPr="00BA4C4A" w:rsidRDefault="00A73935" w:rsidP="00A73935">
      <w:pPr>
        <w:pStyle w:val="Default"/>
        <w:tabs>
          <w:tab w:val="left" w:pos="709"/>
          <w:tab w:val="left" w:pos="4678"/>
        </w:tabs>
        <w:rPr>
          <w:rFonts w:ascii="Frutiger LT 55 Roman" w:hAnsi="Frutiger LT 55 Roman" w:cs="Arial"/>
          <w:color w:val="auto"/>
          <w:sz w:val="22"/>
          <w:szCs w:val="22"/>
          <w:lang w:val="en-US"/>
        </w:rPr>
      </w:pPr>
    </w:p>
    <w:p w:rsidR="00A73935" w:rsidRPr="00BA4C4A" w:rsidRDefault="00A73935" w:rsidP="00A73935">
      <w:pPr>
        <w:pStyle w:val="Default"/>
        <w:rPr>
          <w:rFonts w:ascii="Frutiger LT 55 Roman" w:hAnsi="Frutiger LT 55 Roman" w:cs="Arial"/>
          <w:color w:val="auto"/>
          <w:sz w:val="22"/>
          <w:szCs w:val="22"/>
          <w:lang w:val="en-US"/>
        </w:rPr>
      </w:pPr>
    </w:p>
    <w:p w:rsidR="00F75EA1" w:rsidRPr="00F75EA1" w:rsidRDefault="00F75EA1">
      <w:pPr>
        <w:rPr>
          <w:sz w:val="22"/>
          <w:szCs w:val="22"/>
          <w:lang w:val="en-US"/>
        </w:rPr>
      </w:pPr>
    </w:p>
    <w:sectPr w:rsidR="00F75EA1" w:rsidRPr="00F75EA1" w:rsidSect="00501CEB">
      <w:headerReference w:type="default" r:id="rId8"/>
      <w:pgSz w:w="11906" w:h="16838"/>
      <w:pgMar w:top="1417" w:right="991"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B2" w:rsidRDefault="00112EB2" w:rsidP="00527DEA">
      <w:r>
        <w:separator/>
      </w:r>
    </w:p>
  </w:endnote>
  <w:endnote w:type="continuationSeparator" w:id="0">
    <w:p w:rsidR="00112EB2" w:rsidRDefault="00112EB2" w:rsidP="00527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altName w:val="Malgun Gothic"/>
    <w:panose1 w:val="020B06030305040202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B2" w:rsidRDefault="00112EB2" w:rsidP="00527DEA">
      <w:r>
        <w:separator/>
      </w:r>
    </w:p>
  </w:footnote>
  <w:footnote w:type="continuationSeparator" w:id="0">
    <w:p w:rsidR="00112EB2" w:rsidRDefault="00112EB2" w:rsidP="00527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B2" w:rsidRDefault="008E2362" w:rsidP="008E2362">
    <w:pPr>
      <w:pStyle w:val="Kopfzeile"/>
      <w:tabs>
        <w:tab w:val="clear" w:pos="4536"/>
        <w:tab w:val="clear" w:pos="9072"/>
        <w:tab w:val="left" w:pos="6225"/>
      </w:tabs>
      <w:ind w:right="400"/>
    </w:pPr>
    <w:r w:rsidRPr="008E2362">
      <w:rPr>
        <w:rFonts w:hint="eastAsia"/>
      </w:rPr>
      <w:drawing>
        <wp:anchor distT="0" distB="0" distL="114300" distR="114300" simplePos="0" relativeHeight="251659264" behindDoc="1" locked="0" layoutInCell="1" allowOverlap="1">
          <wp:simplePos x="0" y="0"/>
          <wp:positionH relativeFrom="column">
            <wp:posOffset>5548630</wp:posOffset>
          </wp:positionH>
          <wp:positionV relativeFrom="paragraph">
            <wp:posOffset>-209550</wp:posOffset>
          </wp:positionV>
          <wp:extent cx="590550" cy="685800"/>
          <wp:effectExtent l="19050" t="0" r="0" b="0"/>
          <wp:wrapTight wrapText="bothSides">
            <wp:wrapPolygon edited="0">
              <wp:start x="1394" y="0"/>
              <wp:lineTo x="-697" y="9600"/>
              <wp:lineTo x="697" y="19200"/>
              <wp:lineTo x="2090" y="20400"/>
              <wp:lineTo x="20206" y="20400"/>
              <wp:lineTo x="20206" y="19800"/>
              <wp:lineTo x="19510" y="19200"/>
              <wp:lineTo x="21600" y="18600"/>
              <wp:lineTo x="21600" y="13200"/>
              <wp:lineTo x="18116" y="0"/>
              <wp:lineTo x="1394" y="0"/>
            </wp:wrapPolygon>
          </wp:wrapTight>
          <wp:docPr id="1" name="Grafik 0" descr="QP_Narro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_Narrow_Blue.png"/>
                  <pic:cNvPicPr/>
                </pic:nvPicPr>
                <pic:blipFill>
                  <a:blip r:embed="rId1"/>
                  <a:stretch>
                    <a:fillRect/>
                  </a:stretch>
                </pic:blipFill>
                <pic:spPr>
                  <a:xfrm>
                    <a:off x="0" y="0"/>
                    <a:ext cx="590550" cy="685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559"/>
    <w:multiLevelType w:val="multilevel"/>
    <w:tmpl w:val="A3E63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E37F39"/>
    <w:multiLevelType w:val="hybridMultilevel"/>
    <w:tmpl w:val="6938FC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FF0D22"/>
    <w:multiLevelType w:val="hybridMultilevel"/>
    <w:tmpl w:val="6F8E0AF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3AB3FC5"/>
    <w:multiLevelType w:val="hybridMultilevel"/>
    <w:tmpl w:val="F294DF14"/>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29642651"/>
    <w:multiLevelType w:val="hybridMultilevel"/>
    <w:tmpl w:val="337460E8"/>
    <w:lvl w:ilvl="0" w:tplc="706C7C9C">
      <w:numFmt w:val="bullet"/>
      <w:lvlText w:val="-"/>
      <w:lvlJc w:val="left"/>
      <w:pPr>
        <w:tabs>
          <w:tab w:val="num" w:pos="360"/>
        </w:tabs>
        <w:ind w:left="360" w:hanging="360"/>
      </w:pPr>
      <w:rPr>
        <w:rFonts w:ascii="Frutiger LT 55 Roman" w:eastAsia="SimSun" w:hAnsi="Frutiger LT 55 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F94673"/>
    <w:multiLevelType w:val="multilevel"/>
    <w:tmpl w:val="E22434B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51B263DA"/>
    <w:multiLevelType w:val="hybridMultilevel"/>
    <w:tmpl w:val="1AB013D0"/>
    <w:lvl w:ilvl="0" w:tplc="8F1244D8">
      <w:numFmt w:val="bullet"/>
      <w:lvlText w:val="-"/>
      <w:lvlJc w:val="left"/>
      <w:pPr>
        <w:tabs>
          <w:tab w:val="num" w:pos="360"/>
        </w:tabs>
        <w:ind w:left="360" w:hanging="360"/>
      </w:pPr>
      <w:rPr>
        <w:rFonts w:ascii="Frutiger LT 55 Roman" w:eastAsia="SimSun" w:hAnsi="Frutiger LT 55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AA7EF1"/>
    <w:multiLevelType w:val="hybridMultilevel"/>
    <w:tmpl w:val="4B8C8FEA"/>
    <w:lvl w:ilvl="0" w:tplc="6E7AC048">
      <w:numFmt w:val="bullet"/>
      <w:lvlText w:val=""/>
      <w:lvlJc w:val="left"/>
      <w:pPr>
        <w:ind w:left="360" w:hanging="360"/>
      </w:pPr>
      <w:rPr>
        <w:rFonts w:ascii="Wingdings" w:eastAsia="SimSun" w:hAnsi="Wingdings" w:cs="Times New Roman"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DF8493B"/>
    <w:multiLevelType w:val="hybridMultilevel"/>
    <w:tmpl w:val="B9C2EADE"/>
    <w:lvl w:ilvl="0" w:tplc="557013CC">
      <w:start w:val="1"/>
      <w:numFmt w:val="bullet"/>
      <w:lvlText w:val="-"/>
      <w:lvlJc w:val="left"/>
      <w:pPr>
        <w:tabs>
          <w:tab w:val="num" w:pos="360"/>
        </w:tabs>
        <w:ind w:left="360" w:hanging="360"/>
      </w:pPr>
      <w:rPr>
        <w:rFonts w:ascii="Frutiger LT 55 Roman" w:eastAsia="SimSun" w:hAnsi="Frutiger LT 55 Roman" w:cs="Times New Roman"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3267294"/>
    <w:multiLevelType w:val="hybridMultilevel"/>
    <w:tmpl w:val="187ED78A"/>
    <w:lvl w:ilvl="0" w:tplc="706C7C9C">
      <w:numFmt w:val="bullet"/>
      <w:lvlText w:val="-"/>
      <w:lvlJc w:val="left"/>
      <w:pPr>
        <w:tabs>
          <w:tab w:val="num" w:pos="360"/>
        </w:tabs>
        <w:ind w:left="360" w:hanging="360"/>
      </w:pPr>
      <w:rPr>
        <w:rFonts w:ascii="Frutiger LT 55 Roman" w:eastAsia="SimSun" w:hAnsi="Frutiger LT 55 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EB5646D"/>
    <w:multiLevelType w:val="hybridMultilevel"/>
    <w:tmpl w:val="EBA486F4"/>
    <w:lvl w:ilvl="0" w:tplc="706C7C9C">
      <w:numFmt w:val="bullet"/>
      <w:lvlText w:val="-"/>
      <w:lvlJc w:val="left"/>
      <w:pPr>
        <w:tabs>
          <w:tab w:val="num" w:pos="360"/>
        </w:tabs>
        <w:ind w:left="360" w:hanging="360"/>
      </w:pPr>
      <w:rPr>
        <w:rFonts w:ascii="Frutiger LT 55 Roman" w:eastAsia="SimSun" w:hAnsi="Frutiger LT 55 Roman"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29C2DAC"/>
    <w:multiLevelType w:val="hybridMultilevel"/>
    <w:tmpl w:val="064A9CE2"/>
    <w:lvl w:ilvl="0" w:tplc="F67461C0">
      <w:numFmt w:val="bullet"/>
      <w:lvlText w:val="-"/>
      <w:lvlJc w:val="left"/>
      <w:pPr>
        <w:ind w:left="360" w:hanging="360"/>
      </w:pPr>
      <w:rPr>
        <w:rFonts w:ascii="Frutiger LT 55 Roman" w:eastAsiaTheme="minorEastAsia" w:hAnsi="Frutiger LT 55 Roman"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3137F98"/>
    <w:multiLevelType w:val="hybridMultilevel"/>
    <w:tmpl w:val="6B340C8C"/>
    <w:lvl w:ilvl="0" w:tplc="8F1244D8">
      <w:numFmt w:val="bullet"/>
      <w:lvlText w:val="-"/>
      <w:lvlJc w:val="left"/>
      <w:pPr>
        <w:tabs>
          <w:tab w:val="num" w:pos="360"/>
        </w:tabs>
        <w:ind w:left="360" w:hanging="360"/>
      </w:pPr>
      <w:rPr>
        <w:rFonts w:ascii="Frutiger LT 55 Roman" w:eastAsia="SimSun" w:hAnsi="Frutiger LT 55 Roman" w:cs="Times New Roman"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91F6CF9"/>
    <w:multiLevelType w:val="hybridMultilevel"/>
    <w:tmpl w:val="D4EC0C5A"/>
    <w:lvl w:ilvl="0" w:tplc="557013CC">
      <w:start w:val="1"/>
      <w:numFmt w:val="bullet"/>
      <w:lvlText w:val="-"/>
      <w:lvlJc w:val="left"/>
      <w:pPr>
        <w:ind w:left="360" w:hanging="360"/>
      </w:pPr>
      <w:rPr>
        <w:rFonts w:ascii="Frutiger LT 55 Roman" w:eastAsia="SimSun" w:hAnsi="Frutiger LT 55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7A747A5E"/>
    <w:multiLevelType w:val="hybridMultilevel"/>
    <w:tmpl w:val="611863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A851FBA"/>
    <w:multiLevelType w:val="hybridMultilevel"/>
    <w:tmpl w:val="B82C0214"/>
    <w:lvl w:ilvl="0" w:tplc="8F1244D8">
      <w:numFmt w:val="bullet"/>
      <w:lvlText w:val="-"/>
      <w:lvlJc w:val="left"/>
      <w:pPr>
        <w:tabs>
          <w:tab w:val="num" w:pos="360"/>
        </w:tabs>
        <w:ind w:left="360" w:hanging="360"/>
      </w:pPr>
      <w:rPr>
        <w:rFonts w:ascii="Frutiger LT 55 Roman" w:eastAsia="SimSun" w:hAnsi="Frutiger LT 55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F070458"/>
    <w:multiLevelType w:val="hybridMultilevel"/>
    <w:tmpl w:val="A418B1F0"/>
    <w:lvl w:ilvl="0" w:tplc="557013CC">
      <w:start w:val="1"/>
      <w:numFmt w:val="bullet"/>
      <w:lvlText w:val="-"/>
      <w:lvlJc w:val="left"/>
      <w:pPr>
        <w:tabs>
          <w:tab w:val="num" w:pos="360"/>
        </w:tabs>
        <w:ind w:left="360" w:hanging="360"/>
      </w:pPr>
      <w:rPr>
        <w:rFonts w:ascii="Frutiger LT 55 Roman" w:eastAsia="SimSun" w:hAnsi="Frutiger LT 55 Roman" w:cs="Times New Roman" w:hint="default"/>
      </w:rPr>
    </w:lvl>
    <w:lvl w:ilvl="1" w:tplc="8F1244D8">
      <w:numFmt w:val="bullet"/>
      <w:lvlText w:val="-"/>
      <w:lvlJc w:val="left"/>
      <w:pPr>
        <w:tabs>
          <w:tab w:val="num" w:pos="1440"/>
        </w:tabs>
        <w:ind w:left="1440" w:hanging="360"/>
      </w:pPr>
      <w:rPr>
        <w:rFonts w:ascii="Frutiger LT 55 Roman" w:eastAsia="SimSun" w:hAnsi="Frutiger LT 55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2"/>
  </w:num>
  <w:num w:numId="4">
    <w:abstractNumId w:val="6"/>
  </w:num>
  <w:num w:numId="5">
    <w:abstractNumId w:val="5"/>
  </w:num>
  <w:num w:numId="6">
    <w:abstractNumId w:val="15"/>
  </w:num>
  <w:num w:numId="7">
    <w:abstractNumId w:val="0"/>
  </w:num>
  <w:num w:numId="8">
    <w:abstractNumId w:val="10"/>
  </w:num>
  <w:num w:numId="9">
    <w:abstractNumId w:val="9"/>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
  </w:num>
  <w:num w:numId="15">
    <w:abstractNumId w:val="11"/>
  </w:num>
  <w:num w:numId="16">
    <w:abstractNumId w:val="7"/>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useFELayout/>
  </w:compat>
  <w:rsids>
    <w:rsidRoot w:val="007918F5"/>
    <w:rsid w:val="000076C0"/>
    <w:rsid w:val="00014219"/>
    <w:rsid w:val="00014236"/>
    <w:rsid w:val="00014558"/>
    <w:rsid w:val="00015790"/>
    <w:rsid w:val="000227CE"/>
    <w:rsid w:val="00033A0A"/>
    <w:rsid w:val="00064F69"/>
    <w:rsid w:val="000B5FE0"/>
    <w:rsid w:val="000B7217"/>
    <w:rsid w:val="000C0D65"/>
    <w:rsid w:val="000C2EFB"/>
    <w:rsid w:val="000C5A17"/>
    <w:rsid w:val="000D34EC"/>
    <w:rsid w:val="000F774A"/>
    <w:rsid w:val="00112EB2"/>
    <w:rsid w:val="00123AC1"/>
    <w:rsid w:val="001563B4"/>
    <w:rsid w:val="001705AC"/>
    <w:rsid w:val="001A29E7"/>
    <w:rsid w:val="001C01F5"/>
    <w:rsid w:val="001C4BEE"/>
    <w:rsid w:val="001D76A7"/>
    <w:rsid w:val="00206039"/>
    <w:rsid w:val="00210CA9"/>
    <w:rsid w:val="0021314F"/>
    <w:rsid w:val="0021344D"/>
    <w:rsid w:val="00232A1E"/>
    <w:rsid w:val="0026321B"/>
    <w:rsid w:val="00263F98"/>
    <w:rsid w:val="00276891"/>
    <w:rsid w:val="002D391C"/>
    <w:rsid w:val="002E6563"/>
    <w:rsid w:val="002F00C7"/>
    <w:rsid w:val="002F3160"/>
    <w:rsid w:val="002F799C"/>
    <w:rsid w:val="00304A0B"/>
    <w:rsid w:val="003164A4"/>
    <w:rsid w:val="00354272"/>
    <w:rsid w:val="00354B69"/>
    <w:rsid w:val="00357988"/>
    <w:rsid w:val="00361D00"/>
    <w:rsid w:val="00396887"/>
    <w:rsid w:val="003A24AA"/>
    <w:rsid w:val="003F49CA"/>
    <w:rsid w:val="004029C0"/>
    <w:rsid w:val="00410F86"/>
    <w:rsid w:val="00417E85"/>
    <w:rsid w:val="004435DB"/>
    <w:rsid w:val="00456BA2"/>
    <w:rsid w:val="00461589"/>
    <w:rsid w:val="0048231C"/>
    <w:rsid w:val="00490CD7"/>
    <w:rsid w:val="0049342E"/>
    <w:rsid w:val="00496B55"/>
    <w:rsid w:val="004C5D10"/>
    <w:rsid w:val="004E437B"/>
    <w:rsid w:val="004E60E9"/>
    <w:rsid w:val="004F0CE7"/>
    <w:rsid w:val="004F52FC"/>
    <w:rsid w:val="00501CEB"/>
    <w:rsid w:val="00503DC5"/>
    <w:rsid w:val="00504CBE"/>
    <w:rsid w:val="00516F4B"/>
    <w:rsid w:val="00521332"/>
    <w:rsid w:val="00527DEA"/>
    <w:rsid w:val="00533952"/>
    <w:rsid w:val="00551132"/>
    <w:rsid w:val="0055513F"/>
    <w:rsid w:val="005623B3"/>
    <w:rsid w:val="00562594"/>
    <w:rsid w:val="0056490F"/>
    <w:rsid w:val="00564A57"/>
    <w:rsid w:val="00575CEC"/>
    <w:rsid w:val="0058071D"/>
    <w:rsid w:val="005A3B31"/>
    <w:rsid w:val="005C6CCC"/>
    <w:rsid w:val="005E49DA"/>
    <w:rsid w:val="005F18A0"/>
    <w:rsid w:val="00613AC3"/>
    <w:rsid w:val="00620EF6"/>
    <w:rsid w:val="00624A57"/>
    <w:rsid w:val="00630E05"/>
    <w:rsid w:val="00640A3C"/>
    <w:rsid w:val="00662B7D"/>
    <w:rsid w:val="006641FA"/>
    <w:rsid w:val="006928BF"/>
    <w:rsid w:val="006A6186"/>
    <w:rsid w:val="006B190D"/>
    <w:rsid w:val="006C3983"/>
    <w:rsid w:val="006C6A8C"/>
    <w:rsid w:val="006F0D20"/>
    <w:rsid w:val="006F1E3F"/>
    <w:rsid w:val="0071314D"/>
    <w:rsid w:val="0071482C"/>
    <w:rsid w:val="00717A46"/>
    <w:rsid w:val="00755774"/>
    <w:rsid w:val="007711D1"/>
    <w:rsid w:val="00777177"/>
    <w:rsid w:val="007845CE"/>
    <w:rsid w:val="00791054"/>
    <w:rsid w:val="007918F5"/>
    <w:rsid w:val="00794B43"/>
    <w:rsid w:val="007A2F02"/>
    <w:rsid w:val="007B31B8"/>
    <w:rsid w:val="007C47D6"/>
    <w:rsid w:val="007D21C6"/>
    <w:rsid w:val="007D71FD"/>
    <w:rsid w:val="0081243D"/>
    <w:rsid w:val="008148E0"/>
    <w:rsid w:val="00817CD6"/>
    <w:rsid w:val="0082144C"/>
    <w:rsid w:val="00825E84"/>
    <w:rsid w:val="00834540"/>
    <w:rsid w:val="00836B54"/>
    <w:rsid w:val="00846E01"/>
    <w:rsid w:val="008550E7"/>
    <w:rsid w:val="0085758A"/>
    <w:rsid w:val="008760AC"/>
    <w:rsid w:val="008779DA"/>
    <w:rsid w:val="00884EAF"/>
    <w:rsid w:val="0089335D"/>
    <w:rsid w:val="00893DE6"/>
    <w:rsid w:val="008A2FDF"/>
    <w:rsid w:val="008A5610"/>
    <w:rsid w:val="008C4BE4"/>
    <w:rsid w:val="008E2362"/>
    <w:rsid w:val="008E27E7"/>
    <w:rsid w:val="008E380A"/>
    <w:rsid w:val="008E7D5C"/>
    <w:rsid w:val="008F0B72"/>
    <w:rsid w:val="009017FD"/>
    <w:rsid w:val="00927554"/>
    <w:rsid w:val="00930464"/>
    <w:rsid w:val="0095606E"/>
    <w:rsid w:val="00963D01"/>
    <w:rsid w:val="00964264"/>
    <w:rsid w:val="00970BA6"/>
    <w:rsid w:val="00972032"/>
    <w:rsid w:val="00982CCA"/>
    <w:rsid w:val="009E20A5"/>
    <w:rsid w:val="009E7284"/>
    <w:rsid w:val="009F086C"/>
    <w:rsid w:val="009F6D77"/>
    <w:rsid w:val="00A04486"/>
    <w:rsid w:val="00A239EE"/>
    <w:rsid w:val="00A277A2"/>
    <w:rsid w:val="00A30245"/>
    <w:rsid w:val="00A379C9"/>
    <w:rsid w:val="00A62D6F"/>
    <w:rsid w:val="00A710E6"/>
    <w:rsid w:val="00A73935"/>
    <w:rsid w:val="00A817F2"/>
    <w:rsid w:val="00AA75C0"/>
    <w:rsid w:val="00AB4698"/>
    <w:rsid w:val="00AC3708"/>
    <w:rsid w:val="00AD1DAE"/>
    <w:rsid w:val="00AD2047"/>
    <w:rsid w:val="00AD4BAB"/>
    <w:rsid w:val="00B0382A"/>
    <w:rsid w:val="00B21242"/>
    <w:rsid w:val="00B2547C"/>
    <w:rsid w:val="00B44EB3"/>
    <w:rsid w:val="00B467BC"/>
    <w:rsid w:val="00B67045"/>
    <w:rsid w:val="00B7125D"/>
    <w:rsid w:val="00B75411"/>
    <w:rsid w:val="00B8020A"/>
    <w:rsid w:val="00B8067F"/>
    <w:rsid w:val="00BB3438"/>
    <w:rsid w:val="00BD00B6"/>
    <w:rsid w:val="00BD1EED"/>
    <w:rsid w:val="00BD44EA"/>
    <w:rsid w:val="00C05929"/>
    <w:rsid w:val="00C1529F"/>
    <w:rsid w:val="00C32127"/>
    <w:rsid w:val="00C33D28"/>
    <w:rsid w:val="00C42656"/>
    <w:rsid w:val="00C73FC6"/>
    <w:rsid w:val="00C877E6"/>
    <w:rsid w:val="00C95E30"/>
    <w:rsid w:val="00CB2E23"/>
    <w:rsid w:val="00CB3A53"/>
    <w:rsid w:val="00CB7424"/>
    <w:rsid w:val="00CD0891"/>
    <w:rsid w:val="00CF74F6"/>
    <w:rsid w:val="00D05214"/>
    <w:rsid w:val="00D102A7"/>
    <w:rsid w:val="00D35BAF"/>
    <w:rsid w:val="00D42421"/>
    <w:rsid w:val="00D45951"/>
    <w:rsid w:val="00D4676F"/>
    <w:rsid w:val="00D95873"/>
    <w:rsid w:val="00DA6E7B"/>
    <w:rsid w:val="00DC1870"/>
    <w:rsid w:val="00DC1BF6"/>
    <w:rsid w:val="00DD4005"/>
    <w:rsid w:val="00DE342E"/>
    <w:rsid w:val="00E134FA"/>
    <w:rsid w:val="00E15A7F"/>
    <w:rsid w:val="00E17191"/>
    <w:rsid w:val="00E27CF7"/>
    <w:rsid w:val="00E31E54"/>
    <w:rsid w:val="00E463C6"/>
    <w:rsid w:val="00E53087"/>
    <w:rsid w:val="00E64D04"/>
    <w:rsid w:val="00E66697"/>
    <w:rsid w:val="00E716CE"/>
    <w:rsid w:val="00E74313"/>
    <w:rsid w:val="00E8765E"/>
    <w:rsid w:val="00E928B4"/>
    <w:rsid w:val="00E97F44"/>
    <w:rsid w:val="00EA0C09"/>
    <w:rsid w:val="00EA2871"/>
    <w:rsid w:val="00EB1AA5"/>
    <w:rsid w:val="00EB4F7A"/>
    <w:rsid w:val="00F00973"/>
    <w:rsid w:val="00F02C56"/>
    <w:rsid w:val="00F14F74"/>
    <w:rsid w:val="00F506CA"/>
    <w:rsid w:val="00F523FA"/>
    <w:rsid w:val="00F55EC7"/>
    <w:rsid w:val="00F75EA1"/>
    <w:rsid w:val="00F81605"/>
    <w:rsid w:val="00F924E3"/>
    <w:rsid w:val="00FA6191"/>
    <w:rsid w:val="00FB2882"/>
    <w:rsid w:val="00FE7969"/>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2144C"/>
    <w:rPr>
      <w:rFonts w:ascii="Frutiger LT 55 Roman" w:hAnsi="Frutiger LT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2144C"/>
    <w:rPr>
      <w:rFonts w:ascii="Tahoma" w:hAnsi="Tahoma" w:cs="Tahoma"/>
      <w:sz w:val="16"/>
      <w:szCs w:val="16"/>
    </w:rPr>
  </w:style>
  <w:style w:type="paragraph" w:styleId="Kopfzeile">
    <w:name w:val="header"/>
    <w:basedOn w:val="Standard"/>
    <w:link w:val="KopfzeileZchn"/>
    <w:rsid w:val="00527DEA"/>
    <w:pPr>
      <w:tabs>
        <w:tab w:val="center" w:pos="4536"/>
        <w:tab w:val="right" w:pos="9072"/>
      </w:tabs>
    </w:pPr>
  </w:style>
  <w:style w:type="character" w:customStyle="1" w:styleId="KopfzeileZchn">
    <w:name w:val="Kopfzeile Zchn"/>
    <w:basedOn w:val="Absatz-Standardschriftart"/>
    <w:link w:val="Kopfzeile"/>
    <w:rsid w:val="00527DEA"/>
    <w:rPr>
      <w:rFonts w:ascii="Frutiger LT 55 Roman" w:hAnsi="Frutiger LT 55 Roman"/>
    </w:rPr>
  </w:style>
  <w:style w:type="paragraph" w:styleId="Fuzeile">
    <w:name w:val="footer"/>
    <w:basedOn w:val="Standard"/>
    <w:link w:val="FuzeileZchn"/>
    <w:rsid w:val="00527DEA"/>
    <w:pPr>
      <w:tabs>
        <w:tab w:val="center" w:pos="4536"/>
        <w:tab w:val="right" w:pos="9072"/>
      </w:tabs>
    </w:pPr>
  </w:style>
  <w:style w:type="character" w:customStyle="1" w:styleId="FuzeileZchn">
    <w:name w:val="Fußzeile Zchn"/>
    <w:basedOn w:val="Absatz-Standardschriftart"/>
    <w:link w:val="Fuzeile"/>
    <w:rsid w:val="00527DEA"/>
    <w:rPr>
      <w:rFonts w:ascii="Frutiger LT 55 Roman" w:hAnsi="Frutiger LT 55 Roman"/>
    </w:rPr>
  </w:style>
  <w:style w:type="paragraph" w:styleId="Listenabsatz">
    <w:name w:val="List Paragraph"/>
    <w:basedOn w:val="Standard"/>
    <w:uiPriority w:val="34"/>
    <w:qFormat/>
    <w:rsid w:val="00E15A7F"/>
    <w:pPr>
      <w:ind w:left="720"/>
      <w:contextualSpacing/>
    </w:pPr>
  </w:style>
  <w:style w:type="character" w:styleId="Hyperlink">
    <w:name w:val="Hyperlink"/>
    <w:basedOn w:val="Absatz-Standardschriftart"/>
    <w:rsid w:val="00AA75C0"/>
    <w:rPr>
      <w:color w:val="0000FF" w:themeColor="hyperlink"/>
      <w:u w:val="single"/>
    </w:rPr>
  </w:style>
  <w:style w:type="paragraph" w:styleId="NurText">
    <w:name w:val="Plain Text"/>
    <w:basedOn w:val="Standard"/>
    <w:link w:val="NurTextZchn"/>
    <w:uiPriority w:val="99"/>
    <w:unhideWhenUsed/>
    <w:rsid w:val="00FA6191"/>
    <w:rPr>
      <w:rFonts w:ascii="Consolas" w:eastAsia="Times New Roman" w:hAnsi="Consolas" w:cs="Consolas"/>
      <w:sz w:val="21"/>
      <w:szCs w:val="21"/>
    </w:rPr>
  </w:style>
  <w:style w:type="character" w:customStyle="1" w:styleId="NurTextZchn">
    <w:name w:val="Nur Text Zchn"/>
    <w:basedOn w:val="Absatz-Standardschriftart"/>
    <w:link w:val="NurText"/>
    <w:uiPriority w:val="99"/>
    <w:rsid w:val="00FA6191"/>
    <w:rPr>
      <w:rFonts w:ascii="Consolas" w:eastAsia="Times New Roman" w:hAnsi="Consolas" w:cs="Consolas"/>
      <w:sz w:val="21"/>
      <w:szCs w:val="21"/>
    </w:rPr>
  </w:style>
  <w:style w:type="table" w:styleId="Tabellengitternetz">
    <w:name w:val="Table Grid"/>
    <w:basedOn w:val="NormaleTabelle"/>
    <w:uiPriority w:val="59"/>
    <w:rsid w:val="00521332"/>
    <w:rPr>
      <w:rFonts w:ascii="Frutiger LT 55 Roman" w:eastAsiaTheme="minorEastAsia" w:hAnsi="Frutiger LT 55 Roman"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380A"/>
    <w:pPr>
      <w:autoSpaceDE w:val="0"/>
      <w:autoSpaceDN w:val="0"/>
      <w:adjustRightInd w:val="0"/>
    </w:pPr>
    <w:rPr>
      <w:rFonts w:ascii="Calibri" w:eastAsiaTheme="minorEastAsia" w:hAnsi="Calibri" w:cs="Calibri"/>
      <w:color w:val="000000"/>
      <w:sz w:val="24"/>
      <w:szCs w:val="24"/>
    </w:rPr>
  </w:style>
  <w:style w:type="character" w:customStyle="1" w:styleId="hps">
    <w:name w:val="hps"/>
    <w:basedOn w:val="Absatz-Standardschriftart"/>
    <w:rsid w:val="00E97F44"/>
  </w:style>
</w:styles>
</file>

<file path=word/webSettings.xml><?xml version="1.0" encoding="utf-8"?>
<w:webSettings xmlns:r="http://schemas.openxmlformats.org/officeDocument/2006/relationships" xmlns:w="http://schemas.openxmlformats.org/wordprocessingml/2006/main">
  <w:divs>
    <w:div w:id="330184673">
      <w:bodyDiv w:val="1"/>
      <w:marLeft w:val="0"/>
      <w:marRight w:val="0"/>
      <w:marTop w:val="0"/>
      <w:marBottom w:val="0"/>
      <w:divBdr>
        <w:top w:val="none" w:sz="0" w:space="0" w:color="auto"/>
        <w:left w:val="none" w:sz="0" w:space="0" w:color="auto"/>
        <w:bottom w:val="none" w:sz="0" w:space="0" w:color="auto"/>
        <w:right w:val="none" w:sz="0" w:space="0" w:color="auto"/>
      </w:divBdr>
    </w:div>
    <w:div w:id="533924071">
      <w:bodyDiv w:val="1"/>
      <w:marLeft w:val="0"/>
      <w:marRight w:val="0"/>
      <w:marTop w:val="0"/>
      <w:marBottom w:val="0"/>
      <w:divBdr>
        <w:top w:val="none" w:sz="0" w:space="0" w:color="auto"/>
        <w:left w:val="none" w:sz="0" w:space="0" w:color="auto"/>
        <w:bottom w:val="none" w:sz="0" w:space="0" w:color="auto"/>
        <w:right w:val="none" w:sz="0" w:space="0" w:color="auto"/>
      </w:divBdr>
    </w:div>
    <w:div w:id="738555987">
      <w:bodyDiv w:val="1"/>
      <w:marLeft w:val="0"/>
      <w:marRight w:val="0"/>
      <w:marTop w:val="0"/>
      <w:marBottom w:val="0"/>
      <w:divBdr>
        <w:top w:val="none" w:sz="0" w:space="0" w:color="auto"/>
        <w:left w:val="none" w:sz="0" w:space="0" w:color="auto"/>
        <w:bottom w:val="none" w:sz="0" w:space="0" w:color="auto"/>
        <w:right w:val="none" w:sz="0" w:space="0" w:color="auto"/>
      </w:divBdr>
    </w:div>
    <w:div w:id="1272470884">
      <w:bodyDiv w:val="1"/>
      <w:marLeft w:val="0"/>
      <w:marRight w:val="0"/>
      <w:marTop w:val="0"/>
      <w:marBottom w:val="0"/>
      <w:divBdr>
        <w:top w:val="none" w:sz="0" w:space="0" w:color="auto"/>
        <w:left w:val="none" w:sz="0" w:space="0" w:color="auto"/>
        <w:bottom w:val="none" w:sz="0" w:space="0" w:color="auto"/>
        <w:right w:val="none" w:sz="0" w:space="0" w:color="auto"/>
      </w:divBdr>
    </w:div>
    <w:div w:id="18128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2B34B-A615-4B2B-80F9-406D06BF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Contract</vt:lpstr>
    </vt:vector>
  </TitlesOfParts>
  <Company>RR AG</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klauser</dc:creator>
  <cp:lastModifiedBy>LG</cp:lastModifiedBy>
  <cp:revision>3</cp:revision>
  <cp:lastPrinted>2017-09-20T13:29:00Z</cp:lastPrinted>
  <dcterms:created xsi:type="dcterms:W3CDTF">2018-12-18T15:29:00Z</dcterms:created>
  <dcterms:modified xsi:type="dcterms:W3CDTF">2018-12-18T15:30:00Z</dcterms:modified>
</cp:coreProperties>
</file>